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93" w:rsidRDefault="00164493" w:rsidP="00164493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164493" w:rsidRDefault="00164493" w:rsidP="00164493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164493" w:rsidRDefault="00164493" w:rsidP="00164493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164493" w:rsidRDefault="00164493" w:rsidP="00164493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2015 г.  </w:t>
      </w:r>
    </w:p>
    <w:p w:rsidR="00164493" w:rsidRDefault="00164493" w:rsidP="00164493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164493" w:rsidRDefault="00164493" w:rsidP="00164493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соответствии с постановлением администрации городского округа г. Бор от</w:t>
      </w:r>
      <w:r w:rsidR="00C138EA">
        <w:rPr>
          <w:rFonts w:ascii="Times New Roman" w:hAnsi="Times New Roman"/>
          <w:b/>
          <w:color w:val="000000"/>
          <w:sz w:val="24"/>
        </w:rPr>
        <w:t xml:space="preserve"> 02.10.</w:t>
      </w:r>
      <w:r>
        <w:rPr>
          <w:rFonts w:ascii="Times New Roman" w:hAnsi="Times New Roman"/>
          <w:b/>
          <w:color w:val="000000"/>
          <w:sz w:val="24"/>
        </w:rPr>
        <w:t>2015  №</w:t>
      </w:r>
      <w:r w:rsidR="00C138EA">
        <w:rPr>
          <w:rFonts w:ascii="Times New Roman" w:hAnsi="Times New Roman"/>
          <w:b/>
          <w:color w:val="000000"/>
          <w:sz w:val="24"/>
        </w:rPr>
        <w:t>4941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proofErr w:type="spellStart"/>
      <w:r w:rsidRPr="005775EA"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775EA">
        <w:rPr>
          <w:rFonts w:ascii="Times New Roman" w:hAnsi="Times New Roman"/>
          <w:b/>
          <w:sz w:val="24"/>
          <w:szCs w:val="24"/>
        </w:rPr>
        <w:t>ор</w:t>
      </w:r>
      <w:proofErr w:type="spellEnd"/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164493" w:rsidRDefault="00164493" w:rsidP="00164493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164493" w:rsidRDefault="00164493" w:rsidP="00164493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 12  ноября 2015 года в 14:00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164493" w:rsidRDefault="00164493" w:rsidP="00164493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3"/>
        <w:gridCol w:w="902"/>
        <w:gridCol w:w="1080"/>
        <w:gridCol w:w="54"/>
        <w:gridCol w:w="1701"/>
        <w:gridCol w:w="1542"/>
        <w:gridCol w:w="851"/>
        <w:gridCol w:w="993"/>
        <w:gridCol w:w="1276"/>
        <w:gridCol w:w="1292"/>
        <w:gridCol w:w="1130"/>
        <w:gridCol w:w="1705"/>
      </w:tblGrid>
      <w:tr w:rsidR="00164493" w:rsidTr="00711C8F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 НДС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5% от нач. цены</w:t>
            </w: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  <w:p w:rsidR="00164493" w:rsidRDefault="00164493" w:rsidP="00711C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164493" w:rsidTr="00711C8F">
        <w:trPr>
          <w:cantSplit/>
          <w:trHeight w:val="45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64493" w:rsidRDefault="00164493" w:rsidP="00711C8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6"/>
                <w:szCs w:val="16"/>
              </w:rPr>
            </w:pPr>
          </w:p>
        </w:tc>
      </w:tr>
      <w:tr w:rsidR="00164493" w:rsidTr="00711C8F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763DFE" w:rsidRDefault="00164493" w:rsidP="00711C8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164493" w:rsidTr="00711C8F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763DFE" w:rsidRDefault="00164493" w:rsidP="00711C8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Комплекс нежилых отдельно стоящих зданий (30 объектов), сооружений (1 сооружение) и земельный участок, на котором он расположен.</w:t>
            </w:r>
          </w:p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Адрес: Российская Федерация,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г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ор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ул.Толстого</w:t>
            </w:r>
            <w:proofErr w:type="spellEnd"/>
            <w:r>
              <w:rPr>
                <w:b/>
                <w:sz w:val="18"/>
                <w:szCs w:val="18"/>
              </w:rPr>
              <w:t xml:space="preserve">, д.25, уч.25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1952-1987г.г.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</w:t>
            </w:r>
          </w:p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20 914,2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Кирпичные, 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этажн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2-этажные, здания;</w:t>
            </w:r>
          </w:p>
          <w:p w:rsidR="00164493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Перегородки – кирпич;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Перекрытия – ж/бетон;</w:t>
            </w:r>
          </w:p>
          <w:p w:rsidR="00164493" w:rsidRPr="00582965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Кровля – шифер;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 коммуникации требую капитального ремонта и подключения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Сред.</w:t>
            </w:r>
          </w:p>
          <w:p w:rsidR="00164493" w:rsidRPr="00582965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87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охраняется.</w:t>
            </w:r>
          </w:p>
          <w:p w:rsidR="00164493" w:rsidRDefault="006D0987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Торги по объекту проводятся впервые</w:t>
            </w:r>
          </w:p>
          <w:p w:rsidR="006D0987" w:rsidRPr="00582965" w:rsidRDefault="006D0987" w:rsidP="00711C8F">
            <w:pPr>
              <w:rPr>
                <w:b/>
                <w:sz w:val="18"/>
                <w:szCs w:val="18"/>
              </w:rPr>
            </w:pPr>
          </w:p>
        </w:tc>
      </w:tr>
      <w:tr w:rsidR="00164493" w:rsidTr="00711C8F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763DFE" w:rsidRDefault="00164493" w:rsidP="00711C8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незавершенного строительства (многоквартирный дом) и земельный участок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на котором он расположен.</w:t>
            </w:r>
          </w:p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пос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ольшое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Пикино</w:t>
            </w:r>
            <w:proofErr w:type="spellEnd"/>
            <w:r>
              <w:rPr>
                <w:b/>
                <w:sz w:val="18"/>
                <w:szCs w:val="18"/>
              </w:rPr>
              <w:t>, ул.1 Мая, д.10.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застройки</w:t>
            </w:r>
          </w:p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897,0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Фундамент – ж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/бетон;</w:t>
            </w:r>
          </w:p>
          <w:p w:rsidR="00164493" w:rsidRPr="00582965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Наруж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тены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кирпич;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Коммуникации не подведены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 готовности 47%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87" w:rsidRDefault="006D0987" w:rsidP="006D0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Торги по объекту проводятся впервые</w:t>
            </w:r>
          </w:p>
          <w:p w:rsidR="00164493" w:rsidRPr="00582965" w:rsidRDefault="00164493" w:rsidP="00711C8F">
            <w:pPr>
              <w:rPr>
                <w:b/>
                <w:sz w:val="18"/>
                <w:szCs w:val="18"/>
              </w:rPr>
            </w:pPr>
          </w:p>
        </w:tc>
      </w:tr>
      <w:tr w:rsidR="00164493" w:rsidTr="00711C8F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A5CA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>Нежилое отдельно стоящее здание и земельный участок, на котором оно расположено.</w:t>
            </w:r>
          </w:p>
          <w:p w:rsidR="00164493" w:rsidRPr="006A5CA2" w:rsidRDefault="00164493" w:rsidP="00711C8F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 w:rsidRPr="006A5CA2">
              <w:rPr>
                <w:b/>
                <w:sz w:val="18"/>
                <w:szCs w:val="18"/>
              </w:rPr>
              <w:t>г</w:t>
            </w:r>
            <w:proofErr w:type="gramStart"/>
            <w:r w:rsidRPr="006A5CA2">
              <w:rPr>
                <w:b/>
                <w:sz w:val="18"/>
                <w:szCs w:val="18"/>
              </w:rPr>
              <w:t>.Б</w:t>
            </w:r>
            <w:proofErr w:type="gramEnd"/>
            <w:r w:rsidRPr="006A5CA2">
              <w:rPr>
                <w:b/>
                <w:sz w:val="18"/>
                <w:szCs w:val="18"/>
              </w:rPr>
              <w:t>ор</w:t>
            </w:r>
            <w:proofErr w:type="spellEnd"/>
            <w:r w:rsidRPr="006A5CA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6A5CA2">
              <w:rPr>
                <w:b/>
                <w:sz w:val="18"/>
                <w:szCs w:val="18"/>
              </w:rPr>
              <w:t>Ямновский</w:t>
            </w:r>
            <w:proofErr w:type="spellEnd"/>
            <w:r w:rsidRPr="006A5CA2">
              <w:rPr>
                <w:b/>
                <w:sz w:val="18"/>
                <w:szCs w:val="18"/>
              </w:rPr>
              <w:t xml:space="preserve"> с/с, </w:t>
            </w:r>
            <w:proofErr w:type="spellStart"/>
            <w:r w:rsidRPr="006A5CA2">
              <w:rPr>
                <w:b/>
                <w:sz w:val="18"/>
                <w:szCs w:val="18"/>
              </w:rPr>
              <w:t>с.Ивановское</w:t>
            </w:r>
            <w:proofErr w:type="spellEnd"/>
            <w:r w:rsidRPr="006A5CA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6A5CA2">
              <w:rPr>
                <w:b/>
                <w:sz w:val="18"/>
                <w:szCs w:val="18"/>
              </w:rPr>
              <w:t>ул.Светлая</w:t>
            </w:r>
            <w:proofErr w:type="spellEnd"/>
            <w:r w:rsidRPr="006A5CA2">
              <w:rPr>
                <w:b/>
                <w:sz w:val="18"/>
                <w:szCs w:val="18"/>
              </w:rPr>
              <w:t>, д.279, сооружен.279.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Коммуникации</w:t>
            </w:r>
          </w:p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отсутствуют</w:t>
            </w:r>
          </w:p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A5CA2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277</w:t>
            </w:r>
          </w:p>
          <w:p w:rsidR="00164493" w:rsidRPr="006A5CA2" w:rsidRDefault="00164493" w:rsidP="00711C8F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A5CA2">
              <w:rPr>
                <w:b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 xml:space="preserve">  120 000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  <w:r w:rsidRPr="006A5CA2">
              <w:rPr>
                <w:b/>
                <w:sz w:val="18"/>
                <w:szCs w:val="18"/>
                <w:lang w:eastAsia="en-US"/>
              </w:rPr>
              <w:t>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3" w:rsidRPr="006A5CA2" w:rsidRDefault="00164493" w:rsidP="00711C8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 xml:space="preserve">  6 000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87" w:rsidRDefault="006D0987" w:rsidP="006D0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Торги по объекту проводятся впервые</w:t>
            </w:r>
          </w:p>
          <w:p w:rsidR="00164493" w:rsidRPr="006A5CA2" w:rsidRDefault="00164493" w:rsidP="00711C8F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164493" w:rsidRPr="00BA6EDC" w:rsidRDefault="00164493" w:rsidP="00164493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№1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52:19:0202004:435; категория земель: земли населенных пунктов, разрешенное использование:</w:t>
      </w:r>
      <w:r w:rsidR="00D3448E">
        <w:rPr>
          <w:rFonts w:ascii="Times New Roman" w:hAnsi="Times New Roman"/>
          <w:b/>
          <w:sz w:val="24"/>
          <w:szCs w:val="24"/>
        </w:rPr>
        <w:t xml:space="preserve"> </w:t>
      </w:r>
      <w:r w:rsidRPr="00BA6EDC">
        <w:rPr>
          <w:rFonts w:ascii="Times New Roman" w:hAnsi="Times New Roman"/>
          <w:b/>
          <w:sz w:val="24"/>
          <w:szCs w:val="24"/>
        </w:rPr>
        <w:t>для спецназначения.</w:t>
      </w:r>
      <w:r w:rsidR="00D3448E">
        <w:rPr>
          <w:rFonts w:ascii="Times New Roman" w:hAnsi="Times New Roman"/>
          <w:b/>
          <w:sz w:val="24"/>
          <w:szCs w:val="24"/>
        </w:rPr>
        <w:t xml:space="preserve"> (возможно изменение существующего разрешенного использования </w:t>
      </w:r>
      <w:proofErr w:type="gramStart"/>
      <w:r w:rsidR="00D3448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3448E">
        <w:rPr>
          <w:rFonts w:ascii="Times New Roman" w:hAnsi="Times New Roman"/>
          <w:b/>
          <w:sz w:val="24"/>
          <w:szCs w:val="24"/>
        </w:rPr>
        <w:t xml:space="preserve"> «жилая застройка» - 2.0  по классификатору).  </w:t>
      </w:r>
      <w:r w:rsidRPr="00BA6EDC">
        <w:rPr>
          <w:rFonts w:ascii="Times New Roman" w:hAnsi="Times New Roman"/>
          <w:b/>
          <w:sz w:val="24"/>
          <w:szCs w:val="24"/>
        </w:rPr>
        <w:t xml:space="preserve"> </w:t>
      </w:r>
    </w:p>
    <w:p w:rsidR="00164493" w:rsidRPr="00BA6EDC" w:rsidRDefault="00164493" w:rsidP="00164493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1500002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1705</w:t>
      </w:r>
      <w:r w:rsidRPr="00BA6EDC">
        <w:rPr>
          <w:rFonts w:ascii="Times New Roman" w:hAnsi="Times New Roman"/>
          <w:b/>
          <w:sz w:val="24"/>
          <w:szCs w:val="24"/>
        </w:rPr>
        <w:t>; категория земель: земли населенных пунктов, разрешенное использование:</w:t>
      </w:r>
      <w:r w:rsidR="00D415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 многоквартирным жилым домом</w:t>
      </w:r>
      <w:r w:rsidR="00D415FB">
        <w:rPr>
          <w:rFonts w:ascii="Times New Roman" w:hAnsi="Times New Roman"/>
          <w:b/>
          <w:sz w:val="24"/>
          <w:szCs w:val="24"/>
        </w:rPr>
        <w:t xml:space="preserve"> (зона – Ж</w:t>
      </w:r>
      <w:proofErr w:type="gramStart"/>
      <w:r w:rsidR="00D415FB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D415FB">
        <w:rPr>
          <w:rFonts w:ascii="Times New Roman" w:hAnsi="Times New Roman"/>
          <w:b/>
          <w:sz w:val="24"/>
          <w:szCs w:val="24"/>
        </w:rPr>
        <w:t xml:space="preserve"> – зона малоэтажной жилой застройки 2-4 этажными домами)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164493" w:rsidRPr="00BA6EDC" w:rsidRDefault="00164493" w:rsidP="00164493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</w:t>
      </w:r>
      <w:r w:rsidRPr="00BA6EDC">
        <w:rPr>
          <w:rFonts w:ascii="Times New Roman" w:hAnsi="Times New Roman"/>
          <w:b/>
          <w:sz w:val="24"/>
          <w:szCs w:val="24"/>
        </w:rPr>
        <w:t>35; категория земель: земли населенных пунктов, разрешенное использование:</w:t>
      </w:r>
      <w:r w:rsidR="00D415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обслуживание жилой застройки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164493" w:rsidRPr="003D1F42" w:rsidRDefault="00164493" w:rsidP="00164493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t>1. УСЛОВИЯ  УЧАСТИЯ  В  АУКЦИОНЕ</w:t>
      </w:r>
    </w:p>
    <w:p w:rsidR="00164493" w:rsidRDefault="00164493" w:rsidP="00164493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164493" w:rsidRPr="003F63DE" w:rsidRDefault="00164493" w:rsidP="00164493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Одновременно с заявкой претенденты представляют следующие документы: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64493" w:rsidRPr="00AE5C13" w:rsidRDefault="00164493" w:rsidP="0016449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 xml:space="preserve">К данным документам (в том числе к каждому тому) также прилагается их опись. Заявка и такая опись составляются в двух </w:t>
      </w:r>
      <w:r w:rsidRPr="00AE5C13">
        <w:rPr>
          <w:b/>
          <w:sz w:val="24"/>
          <w:szCs w:val="24"/>
        </w:rPr>
        <w:lastRenderedPageBreak/>
        <w:t>экземплярах, один из которых остается у продавца, другой - у претендента.</w:t>
      </w:r>
    </w:p>
    <w:p w:rsidR="00164493" w:rsidRPr="003F63DE" w:rsidRDefault="00164493" w:rsidP="00164493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164493" w:rsidRDefault="00164493" w:rsidP="00164493">
      <w:pPr>
        <w:pStyle w:val="a9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164493" w:rsidRDefault="00164493" w:rsidP="00164493">
      <w:pPr>
        <w:pStyle w:val="a9"/>
        <w:ind w:left="0"/>
        <w:jc w:val="center"/>
        <w:outlineLvl w:val="0"/>
        <w:rPr>
          <w:b/>
          <w:sz w:val="28"/>
        </w:rPr>
      </w:pPr>
    </w:p>
    <w:p w:rsidR="00164493" w:rsidRPr="00BE79E7" w:rsidRDefault="00164493" w:rsidP="00164493">
      <w:pPr>
        <w:pStyle w:val="a9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164493" w:rsidRDefault="00164493" w:rsidP="00164493">
      <w:pPr>
        <w:pStyle w:val="2"/>
        <w:ind w:firstLine="0"/>
      </w:pPr>
      <w:r>
        <w:t xml:space="preserve">К участию в аукционе допускаются Претенденты, задатки которых поступили на счет Продавца до 16.00. часов  06.11.2015 года.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164493" w:rsidRPr="00D90221" w:rsidRDefault="00164493" w:rsidP="00164493">
      <w:pPr>
        <w:jc w:val="both"/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164493" w:rsidRDefault="00164493" w:rsidP="00164493">
      <w:pPr>
        <w:pStyle w:val="a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164493" w:rsidRDefault="00164493" w:rsidP="00164493">
      <w:pPr>
        <w:pStyle w:val="a9"/>
        <w:tabs>
          <w:tab w:val="num" w:pos="426"/>
          <w:tab w:val="num" w:pos="1003"/>
        </w:tabs>
        <w:ind w:left="0"/>
        <w:jc w:val="both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164493" w:rsidRDefault="00164493" w:rsidP="00164493">
      <w:pPr>
        <w:pStyle w:val="a5"/>
        <w:tabs>
          <w:tab w:val="num" w:pos="1003"/>
        </w:tabs>
        <w:jc w:val="both"/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08.10.2015 года (с 08.00 до 12.00 и с 13.00 до 16.00 часов)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 208. Последний день приема заявок – 06.11.2015 года.</w:t>
      </w:r>
    </w:p>
    <w:p w:rsidR="00164493" w:rsidRDefault="00164493" w:rsidP="00164493">
      <w:pPr>
        <w:pStyle w:val="a9"/>
        <w:ind w:left="142"/>
        <w:jc w:val="both"/>
        <w:rPr>
          <w:b/>
          <w:sz w:val="24"/>
        </w:rPr>
      </w:pPr>
      <w:r>
        <w:rPr>
          <w:b/>
          <w:sz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164493" w:rsidRDefault="00164493" w:rsidP="00164493">
      <w:pPr>
        <w:pStyle w:val="20"/>
        <w:ind w:left="142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</w:t>
      </w:r>
      <w:r>
        <w:rPr>
          <w:b/>
          <w:sz w:val="28"/>
        </w:rPr>
        <w:t xml:space="preserve"> </w:t>
      </w:r>
    </w:p>
    <w:p w:rsidR="00164493" w:rsidRPr="00BE79E7" w:rsidRDefault="00164493" w:rsidP="00164493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09.11.2015.</w:t>
      </w:r>
    </w:p>
    <w:p w:rsidR="00164493" w:rsidRDefault="00164493" w:rsidP="00164493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164493" w:rsidRDefault="00164493" w:rsidP="00164493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не позднее 0</w:t>
      </w:r>
      <w:r w:rsidR="005B4F23">
        <w:rPr>
          <w:b/>
          <w:sz w:val="24"/>
        </w:rPr>
        <w:t>9</w:t>
      </w:r>
      <w:r>
        <w:rPr>
          <w:b/>
          <w:sz w:val="24"/>
        </w:rPr>
        <w:t>.11.2015.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</w:t>
      </w:r>
      <w:r>
        <w:rPr>
          <w:b/>
          <w:sz w:val="24"/>
        </w:rPr>
        <w:lastRenderedPageBreak/>
        <w:t>участником такой продажи.</w:t>
      </w:r>
    </w:p>
    <w:p w:rsidR="00164493" w:rsidRDefault="00164493" w:rsidP="00164493">
      <w:pPr>
        <w:pStyle w:val="20"/>
        <w:ind w:left="0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t>1.3.4.В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 торгов, организатор торгов обязан заключить договор на условиях и по цене, которые предусмотрены заявкой на участие в торгах, но</w:t>
      </w:r>
      <w:proofErr w:type="gramEnd"/>
      <w:r>
        <w:rPr>
          <w:b/>
          <w:sz w:val="24"/>
        </w:rPr>
        <w:t xml:space="preserve"> по цене не </w:t>
      </w:r>
      <w:proofErr w:type="gramStart"/>
      <w:r>
        <w:rPr>
          <w:b/>
          <w:sz w:val="24"/>
        </w:rPr>
        <w:t>менее начальной</w:t>
      </w:r>
      <w:proofErr w:type="gramEnd"/>
      <w:r>
        <w:rPr>
          <w:b/>
          <w:sz w:val="24"/>
        </w:rPr>
        <w:t xml:space="preserve"> (минимальной) цены договора (лота), указанной в извещении о проведении торгов (п.101 в ред. Приказа ФАС России от 30.03.2012 №203). </w:t>
      </w:r>
    </w:p>
    <w:p w:rsidR="00164493" w:rsidRDefault="00164493" w:rsidP="00164493">
      <w:pPr>
        <w:pStyle w:val="2"/>
      </w:pPr>
      <w:r>
        <w:t>Обязанность доказать свое право на участие в продаже лежит на Претенденте.</w:t>
      </w:r>
    </w:p>
    <w:p w:rsidR="00164493" w:rsidRPr="00244528" w:rsidRDefault="00164493" w:rsidP="00164493">
      <w:pPr>
        <w:pStyle w:val="4"/>
        <w:numPr>
          <w:ilvl w:val="0"/>
          <w:numId w:val="1"/>
        </w:numPr>
        <w:rPr>
          <w:rFonts w:ascii="Times New Roman" w:hAnsi="Times New Roman"/>
          <w:kern w:val="20"/>
          <w:sz w:val="28"/>
        </w:rPr>
      </w:pPr>
      <w:r w:rsidRPr="00244528">
        <w:rPr>
          <w:rFonts w:ascii="Times New Roman" w:hAnsi="Times New Roman"/>
          <w:kern w:val="20"/>
        </w:rPr>
        <w:t>УСЛОВИЯ ПРОДАЖИ МУНИЦИПАЛЬНОГО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ИМУЩЕСТВА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 КРИТЕРИИ ВЫЯВЛЕНИЯ ПОБЕДИТЕЛЯ:</w:t>
      </w:r>
    </w:p>
    <w:p w:rsidR="00164493" w:rsidRPr="003F63DE" w:rsidRDefault="00164493" w:rsidP="00164493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164493" w:rsidRPr="003F63DE" w:rsidRDefault="00164493" w:rsidP="00164493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:00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12.11.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5</w:t>
      </w:r>
      <w:r w:rsidRPr="003F63DE">
        <w:rPr>
          <w:b/>
          <w:kern w:val="20"/>
          <w:sz w:val="24"/>
        </w:rPr>
        <w:t xml:space="preserve"> 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164493" w:rsidRPr="003F63DE" w:rsidRDefault="00164493" w:rsidP="00164493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12.11.2015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</w:t>
      </w:r>
      <w:proofErr w:type="spellStart"/>
      <w:r>
        <w:rPr>
          <w:b/>
          <w:kern w:val="20"/>
          <w:sz w:val="24"/>
        </w:rPr>
        <w:t>г</w:t>
      </w:r>
      <w:proofErr w:type="gramStart"/>
      <w:r>
        <w:rPr>
          <w:b/>
          <w:kern w:val="20"/>
          <w:sz w:val="24"/>
        </w:rPr>
        <w:t>.Б</w:t>
      </w:r>
      <w:proofErr w:type="gramEnd"/>
      <w:r>
        <w:rPr>
          <w:b/>
          <w:kern w:val="20"/>
          <w:sz w:val="24"/>
        </w:rPr>
        <w:t>ор</w:t>
      </w:r>
      <w:proofErr w:type="spellEnd"/>
      <w:r>
        <w:rPr>
          <w:b/>
          <w:kern w:val="20"/>
          <w:sz w:val="24"/>
        </w:rPr>
        <w:t xml:space="preserve">, </w:t>
      </w:r>
      <w:proofErr w:type="spellStart"/>
      <w:r>
        <w:rPr>
          <w:b/>
          <w:kern w:val="20"/>
          <w:sz w:val="24"/>
        </w:rPr>
        <w:t>ул.Ленина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64493" w:rsidRPr="003F63DE" w:rsidRDefault="00164493" w:rsidP="00164493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lastRenderedPageBreak/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164493" w:rsidRPr="003F63DE" w:rsidRDefault="00164493" w:rsidP="00164493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5 календарных дней </w:t>
      </w:r>
      <w:proofErr w:type="gramStart"/>
      <w:r w:rsidRPr="003F63DE">
        <w:rPr>
          <w:b/>
          <w:kern w:val="20"/>
          <w:sz w:val="24"/>
        </w:rPr>
        <w:t>с д</w:t>
      </w:r>
      <w:r>
        <w:rPr>
          <w:b/>
          <w:kern w:val="20"/>
          <w:sz w:val="24"/>
        </w:rPr>
        <w:t>а</w:t>
      </w:r>
      <w:r w:rsidRPr="003F63DE">
        <w:rPr>
          <w:b/>
          <w:kern w:val="20"/>
          <w:sz w:val="24"/>
        </w:rPr>
        <w:t>ты проведения</w:t>
      </w:r>
      <w:proofErr w:type="gramEnd"/>
      <w:r w:rsidRPr="003F63DE">
        <w:rPr>
          <w:b/>
          <w:kern w:val="20"/>
          <w:sz w:val="24"/>
        </w:rPr>
        <w:t xml:space="preserve"> аукциона.</w:t>
      </w:r>
    </w:p>
    <w:p w:rsidR="00164493" w:rsidRPr="003F63DE" w:rsidRDefault="00164493" w:rsidP="00164493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164493" w:rsidRDefault="00164493" w:rsidP="00164493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>заключается в течени</w:t>
      </w:r>
      <w:proofErr w:type="gramStart"/>
      <w:r>
        <w:rPr>
          <w:b/>
          <w:kern w:val="20"/>
          <w:sz w:val="24"/>
        </w:rPr>
        <w:t>и</w:t>
      </w:r>
      <w:proofErr w:type="gramEnd"/>
      <w:r>
        <w:rPr>
          <w:b/>
          <w:kern w:val="20"/>
          <w:sz w:val="24"/>
        </w:rPr>
        <w:t xml:space="preserve"> пяти рабочих дней с даты подведения итогов аукциона, с 13.11.2015 по 19.11.2015</w:t>
      </w:r>
      <w:r>
        <w:rPr>
          <w:b/>
          <w:sz w:val="24"/>
          <w:szCs w:val="24"/>
        </w:rPr>
        <w:t>.</w:t>
      </w:r>
    </w:p>
    <w:p w:rsidR="00164493" w:rsidRPr="003F63DE" w:rsidRDefault="00164493" w:rsidP="00164493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При отказе Победителя от подписания протокола о результатах аукциона, договора купли-продажи,  не внесении денежных сре</w:t>
      </w:r>
      <w:proofErr w:type="gramStart"/>
      <w:r w:rsidRPr="003F63DE">
        <w:rPr>
          <w:b/>
          <w:kern w:val="20"/>
          <w:sz w:val="24"/>
        </w:rPr>
        <w:t>дств в сч</w:t>
      </w:r>
      <w:proofErr w:type="gramEnd"/>
      <w:r w:rsidRPr="003F63DE">
        <w:rPr>
          <w:b/>
          <w:kern w:val="20"/>
          <w:sz w:val="24"/>
        </w:rPr>
        <w:t>ет оплаты приобретаемого имущества в указанный срок, задаток ему  не возвращается.</w:t>
      </w:r>
    </w:p>
    <w:p w:rsidR="00164493" w:rsidRPr="003F63DE" w:rsidRDefault="00164493" w:rsidP="00164493">
      <w:pPr>
        <w:pStyle w:val="a7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164493" w:rsidRPr="003F63DE" w:rsidRDefault="00164493" w:rsidP="00164493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164493" w:rsidRPr="003F63DE" w:rsidRDefault="00164493" w:rsidP="00164493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164493" w:rsidRPr="003F63DE" w:rsidRDefault="00164493" w:rsidP="00164493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164493" w:rsidRPr="003F63DE" w:rsidRDefault="00164493" w:rsidP="00164493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Покупатель муниципального имущества является налоговым агентом в соответствии с п.3 ст.161 Налогового кодекса РФ.</w:t>
      </w:r>
      <w:r w:rsidRPr="003F63DE">
        <w:rPr>
          <w:b/>
          <w:kern w:val="20"/>
          <w:sz w:val="24"/>
        </w:rPr>
        <w:tab/>
      </w:r>
    </w:p>
    <w:p w:rsidR="00164493" w:rsidRPr="00A50F5E" w:rsidRDefault="00164493" w:rsidP="00164493">
      <w:pPr>
        <w:pStyle w:val="a5"/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b/>
          <w:kern w:val="20"/>
          <w:sz w:val="24"/>
        </w:rPr>
        <w:t>08.10.2015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</w:t>
      </w:r>
      <w:r>
        <w:rPr>
          <w:b/>
          <w:kern w:val="20"/>
          <w:sz w:val="24"/>
        </w:rPr>
        <w:t xml:space="preserve">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 не позднее 23.11.2015</w:t>
      </w:r>
    </w:p>
    <w:p w:rsidR="00164493" w:rsidRDefault="00164493" w:rsidP="00164493">
      <w:pPr>
        <w:pStyle w:val="a3"/>
        <w:jc w:val="both"/>
        <w:rPr>
          <w:rFonts w:ascii="Times New Roman" w:hAnsi="Times New Roman"/>
          <w:b/>
          <w:kern w:val="20"/>
          <w:sz w:val="24"/>
          <w:szCs w:val="24"/>
        </w:rPr>
      </w:pPr>
      <w:r w:rsidRPr="008C4253">
        <w:rPr>
          <w:rFonts w:ascii="Times New Roman" w:hAnsi="Times New Roman"/>
          <w:b/>
          <w:kern w:val="20"/>
          <w:sz w:val="24"/>
          <w:szCs w:val="24"/>
        </w:rPr>
        <w:t>Справки по телефону:  8(83159)9-05-25, факс 8(83159)9-99-10.</w:t>
      </w:r>
    </w:p>
    <w:p w:rsidR="00157FBE" w:rsidRDefault="00157FBE"/>
    <w:sectPr w:rsidR="00157FBE" w:rsidSect="007664B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3"/>
    <w:rsid w:val="000208AF"/>
    <w:rsid w:val="00157FBE"/>
    <w:rsid w:val="00164493"/>
    <w:rsid w:val="002705BE"/>
    <w:rsid w:val="005769D8"/>
    <w:rsid w:val="005B4F23"/>
    <w:rsid w:val="00683DF3"/>
    <w:rsid w:val="006D0987"/>
    <w:rsid w:val="0073795C"/>
    <w:rsid w:val="00751BB1"/>
    <w:rsid w:val="007664B6"/>
    <w:rsid w:val="00926CB3"/>
    <w:rsid w:val="00C138EA"/>
    <w:rsid w:val="00CC6720"/>
    <w:rsid w:val="00D3448E"/>
    <w:rsid w:val="00D415FB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493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449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1644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644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164493"/>
    <w:pPr>
      <w:ind w:left="566" w:hanging="283"/>
    </w:pPr>
  </w:style>
  <w:style w:type="paragraph" w:styleId="2">
    <w:name w:val="List Bullet 2"/>
    <w:basedOn w:val="a"/>
    <w:autoRedefine/>
    <w:rsid w:val="00164493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164493"/>
    <w:pPr>
      <w:spacing w:after="120"/>
    </w:pPr>
  </w:style>
  <w:style w:type="character" w:customStyle="1" w:styleId="a6">
    <w:name w:val="Основной текст Знак"/>
    <w:basedOn w:val="a0"/>
    <w:link w:val="a5"/>
    <w:rsid w:val="0016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644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164493"/>
    <w:pPr>
      <w:ind w:left="720"/>
    </w:pPr>
  </w:style>
  <w:style w:type="paragraph" w:customStyle="1" w:styleId="ConsNormal">
    <w:name w:val="ConsNormal"/>
    <w:rsid w:val="0016449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1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1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493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449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1644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644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164493"/>
    <w:pPr>
      <w:ind w:left="566" w:hanging="283"/>
    </w:pPr>
  </w:style>
  <w:style w:type="paragraph" w:styleId="2">
    <w:name w:val="List Bullet 2"/>
    <w:basedOn w:val="a"/>
    <w:autoRedefine/>
    <w:rsid w:val="00164493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164493"/>
    <w:pPr>
      <w:spacing w:after="120"/>
    </w:pPr>
  </w:style>
  <w:style w:type="character" w:customStyle="1" w:styleId="a6">
    <w:name w:val="Основной текст Знак"/>
    <w:basedOn w:val="a0"/>
    <w:link w:val="a5"/>
    <w:rsid w:val="0016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644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164493"/>
    <w:pPr>
      <w:ind w:left="720"/>
    </w:pPr>
  </w:style>
  <w:style w:type="paragraph" w:customStyle="1" w:styleId="ConsNormal">
    <w:name w:val="ConsNormal"/>
    <w:rsid w:val="0016449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1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1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cp:lastPrinted>2015-10-01T11:19:00Z</cp:lastPrinted>
  <dcterms:created xsi:type="dcterms:W3CDTF">2015-09-30T06:35:00Z</dcterms:created>
  <dcterms:modified xsi:type="dcterms:W3CDTF">2015-10-02T13:33:00Z</dcterms:modified>
</cp:coreProperties>
</file>